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8" w:rsidRPr="007371B8" w:rsidRDefault="007371B8" w:rsidP="007371B8">
      <w:pPr>
        <w:contextualSpacing/>
      </w:pPr>
      <w:bookmarkStart w:id="0" w:name="_GoBack"/>
      <w:bookmarkEnd w:id="0"/>
      <w:r w:rsidRPr="007371B8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  <w:sz w:val="28"/>
          <w:szCs w:val="28"/>
        </w:rPr>
      </w:pPr>
      <w:r w:rsidRPr="007371B8">
        <w:rPr>
          <w:b/>
          <w:sz w:val="28"/>
          <w:szCs w:val="28"/>
        </w:rPr>
        <w:t>Správa o činnosti pedagogického klubu</w:t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Prioritná os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Špecifický cieľ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Prijímateľ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Názov projektu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 xml:space="preserve">Názov pedagogického klubu 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Dátum stretnutia  pedagogického klubu</w:t>
            </w:r>
          </w:p>
        </w:tc>
        <w:tc>
          <w:tcPr>
            <w:tcW w:w="4606" w:type="dxa"/>
          </w:tcPr>
          <w:p w:rsidR="007371B8" w:rsidRPr="007371B8" w:rsidRDefault="004613CF" w:rsidP="007371B8">
            <w:pPr>
              <w:contextualSpacing/>
            </w:pPr>
            <w:r>
              <w:t>04.05</w:t>
            </w:r>
            <w:r w:rsidR="007371B8" w:rsidRPr="007371B8">
              <w:t>.</w:t>
            </w:r>
            <w:r w:rsidR="007371B8">
              <w:t>2021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Miesto stretnutia 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Meno koordinátora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Mgr. Veronika Totošová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Odkaz na webové sídlo zverejnenej správy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https://zspodolinec.edupage.org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371B8" w:rsidRPr="007371B8" w:rsidTr="00FD67DF">
        <w:trPr>
          <w:trHeight w:val="2656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Manažérske zhrnutie:</w:t>
            </w:r>
          </w:p>
          <w:p w:rsidR="00246292" w:rsidRDefault="00AF5DC7" w:rsidP="007371B8">
            <w:pPr>
              <w:contextualSpacing/>
            </w:pPr>
            <w:r>
              <w:t>Kľúčové slová stretnutia:</w:t>
            </w:r>
            <w:r w:rsidR="00246292">
              <w:t xml:space="preserve"> výchovno- vyučovací proces, </w:t>
            </w:r>
            <w:r w:rsidR="004613CF">
              <w:t xml:space="preserve">vysoko-efektívne učenie, </w:t>
            </w:r>
            <w:r w:rsidR="00136BAF">
              <w:t>integrované tematické vyučovanie</w:t>
            </w:r>
            <w:r w:rsidR="00A62053">
              <w:t>, blokové vyučovanie</w:t>
            </w:r>
          </w:p>
          <w:p w:rsidR="004613CF" w:rsidRDefault="004613CF" w:rsidP="007371B8">
            <w:pPr>
              <w:contextualSpacing/>
            </w:pPr>
          </w:p>
          <w:p w:rsidR="007371B8" w:rsidRPr="00246292" w:rsidRDefault="00246292" w:rsidP="00AF5DC7">
            <w:r>
              <w:t>S</w:t>
            </w:r>
            <w:r w:rsidR="00AF5DC7">
              <w:t>účasťou stretnutia bolo zdieľanie poznatkov z inovačného edukačného programu Vysoko efektívne učenie (VEU) a diskusia k tejto téme</w:t>
            </w:r>
            <w:r>
              <w:t>.</w:t>
            </w:r>
          </w:p>
        </w:tc>
      </w:tr>
      <w:tr w:rsidR="007371B8" w:rsidRPr="007371B8" w:rsidTr="00FD67DF">
        <w:trPr>
          <w:trHeight w:val="141"/>
        </w:trPr>
        <w:tc>
          <w:tcPr>
            <w:tcW w:w="9212" w:type="dxa"/>
          </w:tcPr>
          <w:p w:rsidR="007371B8" w:rsidRPr="00A62053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A62053">
              <w:rPr>
                <w:b/>
                <w:sz w:val="24"/>
                <w:szCs w:val="24"/>
              </w:rPr>
              <w:t>Hlavné body, témy stretnutia, zhrnutie priebehu stretnutia:</w:t>
            </w:r>
            <w:r w:rsidRPr="00A62053">
              <w:rPr>
                <w:sz w:val="24"/>
                <w:szCs w:val="24"/>
              </w:rPr>
              <w:t xml:space="preserve"> </w:t>
            </w:r>
          </w:p>
          <w:p w:rsidR="007371B8" w:rsidRPr="00A62053" w:rsidRDefault="007371B8" w:rsidP="007371B8">
            <w:pPr>
              <w:contextualSpacing/>
              <w:rPr>
                <w:sz w:val="24"/>
                <w:szCs w:val="24"/>
              </w:rPr>
            </w:pPr>
          </w:p>
          <w:p w:rsidR="007371B8" w:rsidRPr="00A62053" w:rsidRDefault="007371B8" w:rsidP="007371B8">
            <w:pPr>
              <w:contextualSpacing/>
              <w:rPr>
                <w:sz w:val="24"/>
                <w:szCs w:val="24"/>
              </w:rPr>
            </w:pPr>
            <w:r w:rsidRPr="00A62053">
              <w:rPr>
                <w:sz w:val="24"/>
                <w:szCs w:val="24"/>
              </w:rPr>
              <w:t xml:space="preserve">- </w:t>
            </w:r>
            <w:r w:rsidR="00136BAF" w:rsidRPr="00A62053">
              <w:rPr>
                <w:sz w:val="24"/>
                <w:szCs w:val="24"/>
              </w:rPr>
              <w:t>Zd</w:t>
            </w:r>
            <w:r w:rsidR="00AF5DC7" w:rsidRPr="00A62053">
              <w:rPr>
                <w:sz w:val="24"/>
                <w:szCs w:val="24"/>
              </w:rPr>
              <w:t>ieľanie poznatkov zo vzdelávacieho kurzu Vysoko efektívne učenie</w:t>
            </w:r>
            <w:r w:rsidR="00246292" w:rsidRPr="00A62053">
              <w:rPr>
                <w:sz w:val="24"/>
                <w:szCs w:val="24"/>
              </w:rPr>
              <w:t>.</w:t>
            </w:r>
          </w:p>
          <w:p w:rsidR="004613CF" w:rsidRPr="00A62053" w:rsidRDefault="007371B8" w:rsidP="007371B8">
            <w:pPr>
              <w:contextualSpacing/>
              <w:rPr>
                <w:sz w:val="24"/>
                <w:szCs w:val="24"/>
              </w:rPr>
            </w:pPr>
            <w:r w:rsidRPr="00A62053">
              <w:rPr>
                <w:sz w:val="24"/>
                <w:szCs w:val="24"/>
              </w:rPr>
              <w:t>-</w:t>
            </w:r>
            <w:r w:rsidR="00246292" w:rsidRPr="00A62053">
              <w:rPr>
                <w:sz w:val="24"/>
                <w:szCs w:val="24"/>
              </w:rPr>
              <w:t xml:space="preserve"> Diskusia k</w:t>
            </w:r>
            <w:r w:rsidR="00AF5DC7" w:rsidRPr="00A62053">
              <w:rPr>
                <w:sz w:val="24"/>
                <w:szCs w:val="24"/>
              </w:rPr>
              <w:t> aplikácií VEU na školách.</w:t>
            </w:r>
          </w:p>
          <w:p w:rsidR="007371B8" w:rsidRPr="00A62053" w:rsidRDefault="00C413D0" w:rsidP="007371B8">
            <w:pPr>
              <w:contextualSpacing/>
              <w:rPr>
                <w:sz w:val="24"/>
                <w:szCs w:val="24"/>
              </w:rPr>
            </w:pPr>
            <w:r w:rsidRPr="00A62053">
              <w:rPr>
                <w:sz w:val="24"/>
                <w:szCs w:val="24"/>
              </w:rPr>
              <w:t xml:space="preserve"> </w:t>
            </w:r>
          </w:p>
          <w:p w:rsidR="00AF5DC7" w:rsidRPr="00A62053" w:rsidRDefault="00AF5DC7" w:rsidP="007371B8">
            <w:pPr>
              <w:contextualSpacing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Ucelený vzdelávací program Vysoko efektívne učenie/Integrované tematické vyučovanie predstavuje komplexný program, ktorý v sebe integruje všetky princípy efektívneho učenia.</w:t>
            </w:r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Dôraz kladie nielen na vedomosti, ale v rovnakej miere aj na rozvoj osobnosti dieťaťa. Základnými prvkami modelu VEU sú prvky efektívneho učenia - zložky učebného prostredia. Patria sem: neprítomnosť ohrozenia a podporujúce prostredie, zmysluplný </w:t>
            </w:r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obsah, možnosť výberu, obohatené prostredie, spolupráca, adekvátny čas, okamžitá spätná väzba, dokonalé zvládnutie, cielený pohyb. (</w:t>
            </w:r>
            <w:proofErr w:type="spellStart"/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Kovalikova</w:t>
            </w:r>
            <w:proofErr w:type="spellEnd"/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Olsenová</w:t>
            </w:r>
            <w:proofErr w:type="spellEnd"/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 K., 1996).</w:t>
            </w:r>
          </w:p>
          <w:p w:rsidR="009E777D" w:rsidRPr="00A62053" w:rsidRDefault="008451C3" w:rsidP="007371B8">
            <w:pPr>
              <w:contextualSpacing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9E777D"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poskytuje možnosť výberu spôsobu osvojenia učiva, vzhľadom na individuálne danosti dieťaťa. Prostredníctvom aplikačných úloh, z ktorých niektoré sú povinné a niektoré výberové, si učiteľ môže overiť, či žiaci učebnú látku pochopili a do akej miery si ju zvnútornili.</w:t>
            </w:r>
          </w:p>
          <w:p w:rsidR="00A62053" w:rsidRPr="00A62053" w:rsidRDefault="00A62053" w:rsidP="007371B8">
            <w:pPr>
              <w:contextualSpacing/>
              <w:rPr>
                <w:sz w:val="24"/>
                <w:szCs w:val="24"/>
              </w:rPr>
            </w:pPr>
            <w:r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Organickou</w:t>
            </w:r>
            <w:r w:rsidR="008451C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súčasťou edukačného programu V</w:t>
            </w:r>
            <w:r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8451C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A620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je výchova. Rozvoj žiakov sa uskutočňuje hlavne prostredníctvom metodiky rozvoja životných zručností. Na rozdiel od tradičného vyučovania, kde hodina trvá 45 minút, pre VEU je charakteristická výučba v blokoch. Každý blok trvá 90 minút a obsahuje: vtiahnutie, výklad učiva, individuálnu prácu na zadanej aplikačnej úlohe, prezentáciu individuálnej práce, skupinovú prácu na výberovej aplikačnej úlohe, prezentáciu skupinovej práce, hodnotenie či spätnú väzbu.</w:t>
            </w:r>
          </w:p>
          <w:p w:rsidR="00AF30BF" w:rsidRPr="00AF30BF" w:rsidRDefault="00AF30BF" w:rsidP="00AF30BF">
            <w:pPr>
              <w:contextualSpacing/>
              <w:rPr>
                <w:sz w:val="24"/>
                <w:szCs w:val="24"/>
              </w:rPr>
            </w:pPr>
            <w:r w:rsidRPr="00AF30BF">
              <w:rPr>
                <w:sz w:val="24"/>
                <w:szCs w:val="24"/>
              </w:rPr>
              <w:t xml:space="preserve">Aplikačné úlohy vnášajú do vyučovania praktický život. Ich obsah aj formulácia je veľmi dôležitá. Učiteľ ich vymýšľa sám. </w:t>
            </w:r>
          </w:p>
          <w:p w:rsidR="0030693D" w:rsidRDefault="00AF30BF" w:rsidP="00AF30BF">
            <w:pPr>
              <w:contextualSpacing/>
              <w:rPr>
                <w:sz w:val="24"/>
                <w:szCs w:val="24"/>
              </w:rPr>
            </w:pPr>
            <w:r w:rsidRPr="00AF30BF">
              <w:rPr>
                <w:sz w:val="24"/>
                <w:szCs w:val="24"/>
              </w:rPr>
              <w:t xml:space="preserve">Počas blokovej výučby sa integrujú predmety, striedajú sa činnosti, keď je to potrebné, učiteľ zaradí </w:t>
            </w:r>
            <w:proofErr w:type="spellStart"/>
            <w:r w:rsidRPr="00AF30BF">
              <w:rPr>
                <w:sz w:val="24"/>
                <w:szCs w:val="24"/>
              </w:rPr>
              <w:t>energizér</w:t>
            </w:r>
            <w:proofErr w:type="spellEnd"/>
            <w:r w:rsidRPr="00AF30BF">
              <w:rPr>
                <w:sz w:val="24"/>
                <w:szCs w:val="24"/>
              </w:rPr>
              <w:t xml:space="preserve"> - aktiv</w:t>
            </w:r>
            <w:r w:rsidR="00FE3B74">
              <w:rPr>
                <w:sz w:val="24"/>
                <w:szCs w:val="24"/>
              </w:rPr>
              <w:t>itu na doplnenie energie. Pri V</w:t>
            </w:r>
            <w:r w:rsidRPr="00AF30BF">
              <w:rPr>
                <w:sz w:val="24"/>
                <w:szCs w:val="24"/>
              </w:rPr>
              <w:t>E</w:t>
            </w:r>
            <w:r w:rsidR="00FE3B74">
              <w:rPr>
                <w:sz w:val="24"/>
                <w:szCs w:val="24"/>
              </w:rPr>
              <w:t>U</w:t>
            </w:r>
            <w:r w:rsidRPr="00AF30BF">
              <w:rPr>
                <w:sz w:val="24"/>
                <w:szCs w:val="24"/>
              </w:rPr>
              <w:t xml:space="preserve"> sa dôsledne dodržiava myšlienka, že skutočný život je najlepším </w:t>
            </w:r>
            <w:proofErr w:type="spellStart"/>
            <w:r w:rsidRPr="00AF30BF">
              <w:rPr>
                <w:sz w:val="24"/>
                <w:szCs w:val="24"/>
              </w:rPr>
              <w:t>kurikulom</w:t>
            </w:r>
            <w:proofErr w:type="spellEnd"/>
            <w:r w:rsidRPr="00AF30BF">
              <w:rPr>
                <w:sz w:val="24"/>
                <w:szCs w:val="24"/>
              </w:rPr>
              <w:t>, rovnako ako priama skúsenosť (</w:t>
            </w:r>
            <w:proofErr w:type="spellStart"/>
            <w:r w:rsidRPr="00AF30BF">
              <w:rPr>
                <w:sz w:val="24"/>
                <w:szCs w:val="24"/>
              </w:rPr>
              <w:t>Kovalikova</w:t>
            </w:r>
            <w:proofErr w:type="spellEnd"/>
            <w:r w:rsidRPr="00AF30BF">
              <w:rPr>
                <w:sz w:val="24"/>
                <w:szCs w:val="24"/>
              </w:rPr>
              <w:t xml:space="preserve">, S., </w:t>
            </w:r>
            <w:proofErr w:type="spellStart"/>
            <w:r w:rsidRPr="00AF30BF">
              <w:rPr>
                <w:sz w:val="24"/>
                <w:szCs w:val="24"/>
              </w:rPr>
              <w:t>Olsenová</w:t>
            </w:r>
            <w:proofErr w:type="spellEnd"/>
            <w:r w:rsidRPr="00AF30BF">
              <w:rPr>
                <w:sz w:val="24"/>
                <w:szCs w:val="24"/>
              </w:rPr>
              <w:t xml:space="preserve">, K., 1996). Základom učenia je vytvorenie príležitosti pre získanie vlastnej skúsenosti, zážitku s témou učenia, najčastejšie formou projektov, učebných exkurzií, „byť tam", celoročnej témy a pod. </w:t>
            </w:r>
          </w:p>
          <w:p w:rsidR="007371B8" w:rsidRPr="00A62053" w:rsidRDefault="007371B8" w:rsidP="00FE3B74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7371B8" w:rsidTr="00FD67DF">
        <w:trPr>
          <w:trHeight w:val="3090"/>
        </w:trPr>
        <w:tc>
          <w:tcPr>
            <w:tcW w:w="9212" w:type="dxa"/>
          </w:tcPr>
          <w:p w:rsidR="007371B8" w:rsidRPr="00A62053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A62053">
              <w:rPr>
                <w:b/>
                <w:sz w:val="24"/>
                <w:szCs w:val="24"/>
              </w:rPr>
              <w:lastRenderedPageBreak/>
              <w:t>Závery a odporúčania:</w:t>
            </w:r>
          </w:p>
          <w:p w:rsidR="007371B8" w:rsidRPr="00A62053" w:rsidRDefault="007371B8" w:rsidP="007371B8">
            <w:pPr>
              <w:contextualSpacing/>
              <w:rPr>
                <w:bCs/>
                <w:sz w:val="24"/>
                <w:szCs w:val="24"/>
              </w:rPr>
            </w:pPr>
          </w:p>
          <w:p w:rsidR="00A62053" w:rsidRDefault="00AF30BF" w:rsidP="00AF30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Prítomné členky klubu sa zhodli, že absolvovanie vzdelávacieho programu VEU je pre pedagógov veľkým prínosom. </w:t>
            </w:r>
          </w:p>
          <w:p w:rsidR="0030693D" w:rsidRDefault="0030693D" w:rsidP="00AF30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na našej škole sa postupne rozbieha vzdelávanie formou blokovej výučby. Táto forma vzdelávania sa teší obľube u žiakov, ale na druhej strane je veľmi</w:t>
            </w:r>
            <w:r w:rsidR="009B118A">
              <w:rPr>
                <w:sz w:val="24"/>
                <w:szCs w:val="24"/>
              </w:rPr>
              <w:t xml:space="preserve"> časovo náročná na prípravu pre </w:t>
            </w:r>
            <w:r>
              <w:rPr>
                <w:sz w:val="24"/>
                <w:szCs w:val="24"/>
              </w:rPr>
              <w:t xml:space="preserve">učiteľa. </w:t>
            </w:r>
          </w:p>
          <w:p w:rsidR="0030693D" w:rsidRPr="00A62053" w:rsidRDefault="0030693D" w:rsidP="00AF30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Naďalej sa odporúča využívať prvky efektívneho učenia a</w:t>
            </w:r>
            <w:r w:rsidR="00FE3B74">
              <w:rPr>
                <w:sz w:val="24"/>
                <w:szCs w:val="24"/>
              </w:rPr>
              <w:t> čoraz viac ich zahŕňať do výučby jednotlivých predmetov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371B8" w:rsidRPr="007371B8" w:rsidRDefault="007371B8" w:rsidP="007371B8">
      <w:pPr>
        <w:contextualSpacing/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967"/>
      </w:tblGrid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D32C6A">
              <w:t>Mgr. Veronika Totošová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FE3B74">
              <w:t>0</w:t>
            </w:r>
            <w:r w:rsidR="00D32C6A">
              <w:t>5.</w:t>
            </w:r>
            <w:r w:rsidR="00FE3B74">
              <w:t>0</w:t>
            </w:r>
            <w:r w:rsidR="00D32C6A">
              <w:t>5.2021</w:t>
            </w:r>
          </w:p>
        </w:tc>
      </w:tr>
      <w:tr w:rsidR="007371B8" w:rsidRPr="007371B8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Mgr. Silvia </w:t>
            </w:r>
            <w:proofErr w:type="spellStart"/>
            <w:r w:rsidRPr="007371B8">
              <w:t>Reľovská</w:t>
            </w:r>
            <w:proofErr w:type="spellEnd"/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rPr>
          <w:b/>
        </w:rPr>
      </w:pPr>
      <w:r w:rsidRPr="007371B8">
        <w:rPr>
          <w:b/>
        </w:rPr>
        <w:t xml:space="preserve">Príloha: </w:t>
      </w:r>
    </w:p>
    <w:p w:rsidR="007371B8" w:rsidRDefault="007371B8" w:rsidP="007371B8">
      <w:pPr>
        <w:contextualSpacing/>
      </w:pPr>
      <w:r w:rsidRPr="007371B8">
        <w:t>Prezenčná listina zo stretnutia pedagogického klubu</w:t>
      </w:r>
    </w:p>
    <w:p w:rsidR="007371B8" w:rsidRPr="007371B8" w:rsidRDefault="007371B8" w:rsidP="007371B8">
      <w:pPr>
        <w:contextualSpacing/>
      </w:pPr>
      <w:r w:rsidRPr="007371B8">
        <w:rPr>
          <w:noProof/>
          <w:lang w:eastAsia="sk-SK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6F66F9" wp14:editId="42CE5C90">
                <wp:simplePos x="0" y="0"/>
                <wp:positionH relativeFrom="column">
                  <wp:posOffset>6015355</wp:posOffset>
                </wp:positionH>
                <wp:positionV relativeFrom="paragraph">
                  <wp:posOffset>424180</wp:posOffset>
                </wp:positionV>
                <wp:extent cx="635" cy="635"/>
                <wp:effectExtent l="19050" t="19050" r="18415" b="18415"/>
                <wp:wrapNone/>
                <wp:docPr id="4" name="Písanie ruko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B36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4" o:spid="_x0000_s1026" type="#_x0000_t75" style="position:absolute;margin-left:472.35pt;margin-top:32.1pt;width:2.65pt;height: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">
                <v:imagedata r:id="rId7" o:title=""/>
                <o:lock v:ext="edit" rotation="t" verticies="t" shapetype="t"/>
              </v:shape>
            </w:pict>
          </mc:Fallback>
        </mc:AlternateContent>
      </w:r>
      <w:r w:rsidRPr="007371B8">
        <w:t xml:space="preserve">Príloha správy o činnosti pedagogického klub                                                                           </w:t>
      </w:r>
      <w:r w:rsidRPr="007371B8">
        <w:rPr>
          <w:noProof/>
          <w:lang w:eastAsia="sk-SK"/>
        </w:rPr>
        <w:drawing>
          <wp:inline distT="0" distB="0" distL="0" distR="0" wp14:anchorId="01C1CEC4" wp14:editId="0325EF80">
            <wp:extent cx="5753100" cy="7994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7371B8" w:rsidRDefault="007371B8" w:rsidP="007371B8">
      <w:pPr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Prioritná os: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rPr>
          <w:trHeight w:val="889"/>
        </w:trPr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Špecifický cieľ: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Prijímateľ: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bookmarkStart w:id="1" w:name="_Hlk21189916"/>
            <w:r w:rsidRPr="007371B8">
              <w:t>ZŠ s MŠ Podolínec</w:t>
            </w:r>
            <w:bookmarkEnd w:id="1"/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Kód ITMS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pedagogického klubu: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jc w:val="center"/>
        <w:rPr>
          <w:b/>
          <w:bCs/>
          <w:sz w:val="28"/>
          <w:szCs w:val="28"/>
        </w:rPr>
      </w:pPr>
      <w:r w:rsidRPr="007371B8">
        <w:rPr>
          <w:b/>
          <w:bCs/>
          <w:sz w:val="28"/>
          <w:szCs w:val="28"/>
        </w:rPr>
        <w:t>PREZENČNÁ LISTINA</w:t>
      </w: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r w:rsidRPr="007371B8">
        <w:t>Miesto konania stretnutia: ZŠ s MŠ Podolínec</w:t>
      </w:r>
    </w:p>
    <w:p w:rsidR="007371B8" w:rsidRPr="007371B8" w:rsidRDefault="007371B8" w:rsidP="007371B8">
      <w:r w:rsidRPr="007371B8">
        <w:t xml:space="preserve">Dátum konania stretnutia: </w:t>
      </w:r>
      <w:r w:rsidR="0061330F">
        <w:t>04.05.2021</w:t>
      </w:r>
    </w:p>
    <w:p w:rsidR="007371B8" w:rsidRDefault="007371B8" w:rsidP="007371B8">
      <w:r w:rsidRPr="007371B8">
        <w:t>Trvanie stretnutia: 13:45 – 16:45</w:t>
      </w:r>
      <w:r w:rsidRPr="007371B8">
        <w:tab/>
      </w:r>
    </w:p>
    <w:p w:rsidR="007371B8" w:rsidRDefault="007371B8" w:rsidP="007371B8"/>
    <w:p w:rsidR="007371B8" w:rsidRPr="007371B8" w:rsidRDefault="007371B8" w:rsidP="007371B8"/>
    <w:p w:rsidR="007371B8" w:rsidRPr="007371B8" w:rsidRDefault="007371B8" w:rsidP="007371B8"/>
    <w:p w:rsidR="007371B8" w:rsidRPr="007371B8" w:rsidRDefault="007371B8" w:rsidP="007371B8">
      <w:r w:rsidRPr="007371B8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545"/>
        <w:gridCol w:w="3188"/>
      </w:tblGrid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č.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Meno a priezvisko</w:t>
            </w:r>
          </w:p>
        </w:tc>
        <w:tc>
          <w:tcPr>
            <w:tcW w:w="1545" w:type="dxa"/>
          </w:tcPr>
          <w:p w:rsidR="007371B8" w:rsidRPr="007371B8" w:rsidRDefault="007371B8" w:rsidP="007371B8">
            <w:r w:rsidRPr="007371B8">
              <w:t>Podpis</w:t>
            </w:r>
          </w:p>
        </w:tc>
        <w:tc>
          <w:tcPr>
            <w:tcW w:w="3188" w:type="dxa"/>
          </w:tcPr>
          <w:p w:rsidR="007371B8" w:rsidRPr="007371B8" w:rsidRDefault="007371B8" w:rsidP="007371B8"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1.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Veronika Totošová 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2.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Elena </w:t>
            </w:r>
            <w:proofErr w:type="spellStart"/>
            <w:r w:rsidRPr="007371B8">
              <w:t>Bujnovská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3.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Eva </w:t>
            </w:r>
            <w:proofErr w:type="spellStart"/>
            <w:r w:rsidRPr="007371B8">
              <w:t>Maniaková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4.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Jana </w:t>
            </w:r>
            <w:proofErr w:type="spellStart"/>
            <w:r w:rsidRPr="007371B8">
              <w:t>Gurková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  <w:r w:rsidRPr="007371B8">
        <w:lastRenderedPageBreak/>
        <w:t>Meno prizvaných odborníkov/iných účastníkov, ktorí nie sú členmi pedagogického klubu  a podpis/y:</w:t>
      </w:r>
      <w:r w:rsidRPr="007371B8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1559"/>
        <w:gridCol w:w="2977"/>
      </w:tblGrid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  <w:r w:rsidRPr="007371B8">
              <w:t>č.</w:t>
            </w: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  <w:r w:rsidRPr="007371B8">
              <w:t>Meno a priezvisko</w:t>
            </w: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55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sectPr w:rsidR="007371B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8"/>
    <w:rsid w:val="00136BAF"/>
    <w:rsid w:val="001B0262"/>
    <w:rsid w:val="00246292"/>
    <w:rsid w:val="0030693D"/>
    <w:rsid w:val="004613CF"/>
    <w:rsid w:val="0061330F"/>
    <w:rsid w:val="006A461A"/>
    <w:rsid w:val="006A56E3"/>
    <w:rsid w:val="007371B8"/>
    <w:rsid w:val="008451C3"/>
    <w:rsid w:val="00954B4D"/>
    <w:rsid w:val="009B118A"/>
    <w:rsid w:val="009E777D"/>
    <w:rsid w:val="00A62053"/>
    <w:rsid w:val="00AF30BF"/>
    <w:rsid w:val="00AF5DC7"/>
    <w:rsid w:val="00C413D0"/>
    <w:rsid w:val="00D32C6A"/>
    <w:rsid w:val="00ED5B01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714E-8F50-4E53-BCBD-350F7CF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02-11T18:00:06.283"/>
    </inkml:context>
    <inkml:brush xml:id="br0">
      <inkml:brushProperty name="width" value="0.05292" units="cm"/>
      <inkml:brushProperty name="height" value="0.05292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2021-05-26T06:04:00Z</dcterms:created>
  <dcterms:modified xsi:type="dcterms:W3CDTF">2021-05-26T06:04:00Z</dcterms:modified>
</cp:coreProperties>
</file>