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299">
        <w:rPr>
          <w:rFonts w:ascii="Times New Roman" w:hAnsi="Times New Roman" w:cs="Times New Roman"/>
          <w:b/>
          <w:bCs/>
          <w:sz w:val="28"/>
          <w:szCs w:val="28"/>
        </w:rPr>
        <w:t>č. 3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6E4299" w:rsidRPr="00B100FA" w:rsidRDefault="00C625A0" w:rsidP="006E4299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6E4299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6E4299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6E4299">
        <w:rPr>
          <w:rFonts w:ascii="Times New Roman" w:hAnsi="Times New Roman" w:cs="Times New Roman"/>
          <w:sz w:val="24"/>
          <w:szCs w:val="24"/>
        </w:rPr>
        <w:t>:</w:t>
      </w:r>
    </w:p>
    <w:p w:rsidR="006E4299" w:rsidRPr="002A4D40" w:rsidRDefault="006E4299" w:rsidP="006E4299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36 -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B100FA" w:rsidRDefault="00B100FA" w:rsidP="006E4299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E4299" w:rsidRPr="00B100FA" w:rsidRDefault="002A4D40" w:rsidP="006E4299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2./ </w:t>
      </w:r>
      <w:r w:rsidR="006E4299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6E4299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6E4299">
        <w:rPr>
          <w:rFonts w:ascii="Times New Roman" w:hAnsi="Times New Roman" w:cs="Times New Roman"/>
          <w:sz w:val="24"/>
          <w:szCs w:val="24"/>
        </w:rPr>
        <w:t>:</w:t>
      </w:r>
    </w:p>
    <w:p w:rsidR="006E4299" w:rsidRPr="002A4D40" w:rsidRDefault="006E4299" w:rsidP="006E4299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57 -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19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2A4D40" w:rsidRPr="00B109BB" w:rsidRDefault="002A4D40" w:rsidP="006E4299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C625A0" w:rsidRDefault="00C625A0" w:rsidP="00B100FA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100FA" w:rsidRPr="00B100FA" w:rsidRDefault="002A4D4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3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6E4299">
        <w:rPr>
          <w:rFonts w:ascii="Times New Roman" w:hAnsi="Times New Roman" w:cs="Times New Roman"/>
          <w:sz w:val="24"/>
          <w:szCs w:val="24"/>
        </w:rPr>
        <w:t>ť č. 11,12,13,14,15</w:t>
      </w:r>
      <w:r w:rsidR="00F24383">
        <w:rPr>
          <w:rFonts w:ascii="Times New Roman" w:hAnsi="Times New Roman" w:cs="Times New Roman"/>
          <w:sz w:val="24"/>
          <w:szCs w:val="24"/>
        </w:rPr>
        <w:t xml:space="preserve"> </w:t>
      </w:r>
      <w:r w:rsidR="006E4299">
        <w:rPr>
          <w:rFonts w:ascii="Times New Roman" w:hAnsi="Times New Roman" w:cs="Times New Roman"/>
          <w:sz w:val="24"/>
          <w:szCs w:val="24"/>
        </w:rPr>
        <w:t>– Miestnosti sú prepojené.</w:t>
      </w:r>
      <w:r w:rsidR="00F2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6E4299">
        <w:rPr>
          <w:rFonts w:ascii="Times New Roman" w:hAnsi="Times New Roman" w:cs="Times New Roman"/>
          <w:sz w:val="24"/>
          <w:szCs w:val="24"/>
        </w:rPr>
        <w:t>hy prenajímaného priestoru je 80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100FA" w:rsidRDefault="00B100F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6C2BB7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50436C">
        <w:rPr>
          <w:rFonts w:ascii="Times New Roman" w:hAnsi="Times New Roman" w:cs="Times New Roman"/>
          <w:sz w:val="24"/>
          <w:szCs w:val="24"/>
        </w:rPr>
        <w:t>.4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50436C">
        <w:rPr>
          <w:rFonts w:ascii="Times New Roman" w:hAnsi="Times New Roman" w:cs="Times New Roman"/>
          <w:sz w:val="24"/>
          <w:szCs w:val="24"/>
        </w:rPr>
        <w:t>3.4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0436C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6C2BB7"/>
    <w:rsid w:val="006C77AD"/>
    <w:rsid w:val="006E28D7"/>
    <w:rsid w:val="006E4299"/>
    <w:rsid w:val="00705202"/>
    <w:rsid w:val="007207A8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2C49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14</cp:revision>
  <cp:lastPrinted>2018-10-15T09:46:00Z</cp:lastPrinted>
  <dcterms:created xsi:type="dcterms:W3CDTF">2018-09-11T12:11:00Z</dcterms:created>
  <dcterms:modified xsi:type="dcterms:W3CDTF">2019-04-03T10:41:00Z</dcterms:modified>
</cp:coreProperties>
</file>